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B088" w14:textId="77777777" w:rsidR="00462806" w:rsidRPr="00CA660B" w:rsidRDefault="00000000">
      <w:pPr>
        <w:jc w:val="center"/>
        <w:rPr>
          <w:rFonts w:ascii="標楷體" w:eastAsia="標楷體" w:hAnsi="標楷體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0"/>
          <w:id w:val="839559137"/>
        </w:sdtPr>
        <w:sdtContent>
          <w:r w:rsidRPr="00CA660B">
            <w:rPr>
              <w:rFonts w:ascii="標楷體" w:eastAsia="標楷體" w:hAnsi="標楷體" w:cs="Gungsuh"/>
              <w:b/>
              <w:sz w:val="36"/>
              <w:szCs w:val="36"/>
            </w:rPr>
            <w:t>單項協會辦理賽事競賽規程中</w:t>
          </w:r>
          <w:r w:rsidRPr="00CA660B">
            <w:rPr>
              <w:rFonts w:ascii="標楷體" w:eastAsia="標楷體" w:hAnsi="標楷體" w:cs="Gungsuh"/>
              <w:b/>
              <w:sz w:val="36"/>
              <w:szCs w:val="36"/>
            </w:rPr>
            <w:br/>
            <w:t>運動禁藥管制相關規定範本</w:t>
          </w:r>
        </w:sdtContent>
      </w:sdt>
    </w:p>
    <w:p w14:paraId="1F913823" w14:textId="77777777" w:rsidR="00462806" w:rsidRPr="00CA660B" w:rsidRDefault="00000000">
      <w:pP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"/>
          <w:id w:val="-475668746"/>
        </w:sdtPr>
        <w:sdtContent>
          <w:r w:rsidRPr="00CA660B">
            <w:rPr>
              <w:rFonts w:ascii="標楷體" w:eastAsia="標楷體" w:hAnsi="標楷體" w:cs="Gungsuh"/>
              <w:highlight w:val="yellow"/>
            </w:rPr>
            <w:t>第○(依競賽</w:t>
          </w:r>
          <w:proofErr w:type="gramStart"/>
          <w:r w:rsidRPr="00CA660B">
            <w:rPr>
              <w:rFonts w:ascii="標楷體" w:eastAsia="標楷體" w:hAnsi="標楷體" w:cs="Gungsuh"/>
              <w:highlight w:val="yellow"/>
            </w:rPr>
            <w:t>規程條號調整</w:t>
          </w:r>
          <w:proofErr w:type="gramEnd"/>
          <w:r w:rsidRPr="00CA660B">
            <w:rPr>
              <w:rFonts w:ascii="標楷體" w:eastAsia="標楷體" w:hAnsi="標楷體" w:cs="Gungsuh"/>
              <w:highlight w:val="yellow"/>
            </w:rPr>
            <w:t>)條</w:t>
          </w:r>
        </w:sdtContent>
      </w:sdt>
      <w:sdt>
        <w:sdtPr>
          <w:rPr>
            <w:rFonts w:ascii="標楷體" w:eastAsia="標楷體" w:hAnsi="標楷體"/>
          </w:rPr>
          <w:tag w:val="goog_rdk_2"/>
          <w:id w:val="-514519844"/>
        </w:sdtPr>
        <w:sdtContent>
          <w:r w:rsidRPr="00CA660B">
            <w:rPr>
              <w:rFonts w:ascii="標楷體" w:eastAsia="標楷體" w:hAnsi="標楷體" w:cs="Gungsuh"/>
            </w:rPr>
            <w:t xml:space="preserve"> 運動禁藥管制相關規定</w:t>
          </w:r>
        </w:sdtContent>
      </w:sdt>
    </w:p>
    <w:p w14:paraId="21234B51" w14:textId="77777777" w:rsidR="00462806" w:rsidRPr="00CA660B" w:rsidRDefault="00462806">
      <w:pPr>
        <w:rPr>
          <w:rFonts w:ascii="標楷體" w:eastAsia="標楷體" w:hAnsi="標楷體"/>
        </w:rPr>
      </w:pPr>
    </w:p>
    <w:bookmarkStart w:id="0" w:name="_heading=h.gjdgxs" w:colFirst="0" w:colLast="0"/>
    <w:bookmarkEnd w:id="0"/>
    <w:p w14:paraId="620D2988" w14:textId="77777777" w:rsidR="00462806" w:rsidRPr="00CA66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3"/>
          <w:id w:val="-1663830906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依據「國家運動禁藥管制規則（NADR）」，參與協會辦理賽事之選手屬於國家級運動員，皆可能接受藥檢。</w:t>
          </w:r>
        </w:sdtContent>
      </w:sdt>
    </w:p>
    <w:bookmarkStart w:id="1" w:name="_heading=h.30j0zll" w:colFirst="0" w:colLast="0"/>
    <w:bookmarkEnd w:id="1"/>
    <w:p w14:paraId="2DFF2EB5" w14:textId="77777777" w:rsidR="00462806" w:rsidRPr="00CA66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4"/>
          <w:id w:val="-613525970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依據「治療用途豁免國際標準（ISTUE）」，國家級運動員因治療用途欲使用禁用物質或方法前，應向「</w:t>
          </w:r>
        </w:sdtContent>
      </w:sdt>
      <w:hyperlink r:id="rId8">
        <w:r w:rsidR="00462806" w:rsidRPr="00CA660B">
          <w:rPr>
            <w:rFonts w:ascii="標楷體" w:eastAsia="標楷體" w:hAnsi="標楷體"/>
            <w:color w:val="0000FF"/>
            <w:u w:val="single"/>
          </w:rPr>
          <w:t>財團法人中華運動禁藥防制基金會</w:t>
        </w:r>
      </w:hyperlink>
      <w:sdt>
        <w:sdtPr>
          <w:rPr>
            <w:rFonts w:ascii="標楷體" w:eastAsia="標楷體" w:hAnsi="標楷體"/>
          </w:rPr>
          <w:tag w:val="goog_rdk_5"/>
          <w:id w:val="-90307319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」提出「治療用途豁免（TUE）」申請，取得核可後方可使用。</w:t>
          </w:r>
        </w:sdtContent>
      </w:sdt>
    </w:p>
    <w:bookmarkStart w:id="2" w:name="_heading=h.1fob9te" w:colFirst="0" w:colLast="0"/>
    <w:bookmarkEnd w:id="2"/>
    <w:p w14:paraId="31AFA99A" w14:textId="0F178BF4" w:rsidR="00462806" w:rsidRPr="00CA66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6"/>
          <w:id w:val="-51375098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使用「隨時禁用（賽內與賽外）物質或方法（S</w:t>
          </w:r>
          <w:r w:rsidR="00CA660B" w:rsidRPr="00CA660B">
            <w:rPr>
              <w:rFonts w:ascii="標楷體" w:eastAsia="標楷體" w:hAnsi="標楷體" w:cs="Gungsuh" w:hint="eastAsia"/>
              <w:color w:val="000000"/>
            </w:rPr>
            <w:t>0</w:t>
          </w:r>
          <w:r w:rsidRPr="00CA660B">
            <w:rPr>
              <w:rFonts w:ascii="標楷體" w:eastAsia="標楷體" w:hAnsi="標楷體" w:cs="Gungsuh"/>
              <w:color w:val="000000"/>
            </w:rPr>
            <w:t>~S5、M1~M3、P1）」：無論是否參賽，應儘速提出申請。尚未申請者，應於申請截止日期前提出。</w:t>
          </w:r>
        </w:sdtContent>
      </w:sdt>
    </w:p>
    <w:bookmarkStart w:id="3" w:name="_heading=h.3znysh7" w:colFirst="0" w:colLast="0"/>
    <w:bookmarkEnd w:id="3"/>
    <w:p w14:paraId="3B0A363D" w14:textId="77777777" w:rsidR="00462806" w:rsidRPr="00CA66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7"/>
          <w:id w:val="1153427960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 xml:space="preserve"> </w:t>
          </w:r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賽內期</w:t>
          </w:r>
          <w:proofErr w:type="gramEnd"/>
          <w:r w:rsidRPr="00CA660B">
            <w:rPr>
              <w:rFonts w:ascii="標楷體" w:eastAsia="標楷體" w:hAnsi="標楷體" w:cs="Gungsuh"/>
              <w:color w:val="000000"/>
            </w:rPr>
            <w:t xml:space="preserve"> </w:t>
          </w:r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8"/>
          <w:id w:val="1001385957"/>
        </w:sdtPr>
        <w:sdtContent>
          <w:r w:rsidRPr="00CA660B">
            <w:rPr>
              <w:rFonts w:ascii="標楷體" w:eastAsia="標楷體" w:hAnsi="標楷體" w:cs="Gungsuh"/>
              <w:b/>
              <w:color w:val="000000"/>
            </w:rPr>
            <w:t>指運動員表定參賽之前一日的午夜前</w:t>
          </w:r>
          <w:proofErr w:type="gramStart"/>
          <w:r w:rsidRPr="00CA660B">
            <w:rPr>
              <w:rFonts w:ascii="標楷體" w:eastAsia="標楷體" w:hAnsi="標楷體" w:cs="Gungsuh"/>
              <w:b/>
              <w:color w:val="000000"/>
            </w:rPr>
            <w:t>（</w:t>
          </w:r>
          <w:proofErr w:type="gramEnd"/>
          <w:r w:rsidRPr="00CA660B">
            <w:rPr>
              <w:rFonts w:ascii="標楷體" w:eastAsia="標楷體" w:hAnsi="標楷體" w:cs="Gungsuh"/>
              <w:b/>
              <w:color w:val="000000"/>
            </w:rPr>
            <w:t>23:59</w:t>
          </w:r>
          <w:proofErr w:type="gramStart"/>
          <w:r w:rsidRPr="00CA660B">
            <w:rPr>
              <w:rFonts w:ascii="標楷體" w:eastAsia="標楷體" w:hAnsi="標楷體" w:cs="Gungsuh"/>
              <w:b/>
              <w:color w:val="000000"/>
            </w:rPr>
            <w:t>）</w:t>
          </w:r>
          <w:proofErr w:type="gramEnd"/>
          <w:r w:rsidRPr="00CA660B">
            <w:rPr>
              <w:rFonts w:ascii="標楷體" w:eastAsia="標楷體" w:hAnsi="標楷體" w:cs="Gungsuh"/>
              <w:b/>
              <w:color w:val="000000"/>
            </w:rPr>
            <w:t>起算直到比賽與檢體採集流程結束為止</w:t>
          </w:r>
        </w:sdtContent>
      </w:sdt>
      <w:sdt>
        <w:sdtPr>
          <w:rPr>
            <w:rFonts w:ascii="標楷體" w:eastAsia="標楷體" w:hAnsi="標楷體"/>
          </w:rPr>
          <w:tag w:val="goog_rdk_9"/>
          <w:id w:val="2076833959"/>
        </w:sdtPr>
        <w:sdtContent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〕</w:t>
          </w:r>
          <w:proofErr w:type="gramEnd"/>
          <w:r w:rsidRPr="00CA660B">
            <w:rPr>
              <w:rFonts w:ascii="標楷體" w:eastAsia="標楷體" w:hAnsi="標楷體" w:cs="Gungsuh"/>
              <w:color w:val="000000"/>
            </w:rPr>
            <w:t>使用「</w:t>
          </w:r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限賽內</w:t>
          </w:r>
          <w:proofErr w:type="gramEnd"/>
          <w:r w:rsidRPr="00CA660B">
            <w:rPr>
              <w:rFonts w:ascii="標楷體" w:eastAsia="標楷體" w:hAnsi="標楷體" w:cs="Gungsuh"/>
              <w:color w:val="000000"/>
            </w:rPr>
            <w:t>禁用物質（S6~S9、P1）」：應於申請截止日期前提出。</w:t>
          </w:r>
        </w:sdtContent>
      </w:sdt>
    </w:p>
    <w:bookmarkStart w:id="4" w:name="_heading=h.2et92p0" w:colFirst="0" w:colLast="0"/>
    <w:bookmarkEnd w:id="4"/>
    <w:p w14:paraId="11CF8BF8" w14:textId="77777777" w:rsidR="00462806" w:rsidRPr="00CA660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10"/>
          <w:id w:val="1718929981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符合特殊情況時</w:t>
          </w:r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（</w:t>
          </w:r>
          <w:proofErr w:type="gramEnd"/>
          <w:r w:rsidRPr="00CA660B">
            <w:rPr>
              <w:rFonts w:ascii="標楷體" w:eastAsia="標楷體" w:hAnsi="標楷體" w:cs="Gungsuh"/>
              <w:color w:val="000000"/>
            </w:rPr>
            <w:t>如：緊急醫療等</w:t>
          </w:r>
          <w:proofErr w:type="gramStart"/>
          <w:r w:rsidRPr="00CA660B">
            <w:rPr>
              <w:rFonts w:ascii="標楷體" w:eastAsia="標楷體" w:hAnsi="標楷體" w:cs="Gungsuh"/>
              <w:color w:val="000000"/>
            </w:rPr>
            <w:t>）</w:t>
          </w:r>
          <w:proofErr w:type="gramEnd"/>
          <w:r w:rsidRPr="00CA660B">
            <w:rPr>
              <w:rFonts w:ascii="標楷體" w:eastAsia="標楷體" w:hAnsi="標楷體" w:cs="Gungsuh"/>
              <w:color w:val="000000"/>
            </w:rPr>
            <w:t>得於使用後提出回溯性TUE申請或申請截止日期後提出申請，詳見下方「運動員治療用途豁免須知」。</w:t>
          </w:r>
        </w:sdtContent>
      </w:sdt>
    </w:p>
    <w:p w14:paraId="62395959" w14:textId="77777777" w:rsidR="00462806" w:rsidRPr="00CA66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11"/>
          <w:id w:val="958413726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本次賽事TUE申請截止日期為</w:t>
          </w:r>
        </w:sdtContent>
      </w:sdt>
      <w:sdt>
        <w:sdtPr>
          <w:rPr>
            <w:rFonts w:ascii="標楷體" w:eastAsia="標楷體" w:hAnsi="標楷體"/>
          </w:rPr>
          <w:tag w:val="goog_rdk_12"/>
          <w:id w:val="-731228894"/>
        </w:sdtPr>
        <w:sdtContent>
          <w:r w:rsidRPr="00CA660B">
            <w:rPr>
              <w:rFonts w:ascii="標楷體" w:eastAsia="標楷體" w:hAnsi="標楷體" w:cs="Gungsuh"/>
              <w:color w:val="000000"/>
              <w:highlight w:val="yellow"/>
            </w:rPr>
            <w:t>○月○日。</w:t>
          </w:r>
        </w:sdtContent>
      </w:sdt>
    </w:p>
    <w:p w14:paraId="4D258445" w14:textId="295D08E8" w:rsidR="00462806" w:rsidRPr="00CA660B" w:rsidRDefault="00000000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13"/>
          <w:id w:val="-1930773855"/>
        </w:sdtPr>
        <w:sdtContent>
          <w:r w:rsidRPr="00CA660B">
            <w:rPr>
              <w:rFonts w:ascii="標楷體" w:eastAsia="標楷體" w:hAnsi="標楷體" w:cs="Gungsuh"/>
              <w:color w:val="000000"/>
              <w:highlight w:val="yellow"/>
            </w:rPr>
            <w:t>（一般情況為開賽日前3</w:t>
          </w:r>
          <w:r w:rsidR="00CA660B">
            <w:rPr>
              <w:rFonts w:ascii="標楷體" w:eastAsia="標楷體" w:hAnsi="標楷體" w:cs="Gungsuh" w:hint="eastAsia"/>
              <w:color w:val="000000"/>
              <w:highlight w:val="yellow"/>
            </w:rPr>
            <w:t>0</w:t>
          </w:r>
          <w:r w:rsidRPr="00CA660B">
            <w:rPr>
              <w:rFonts w:ascii="標楷體" w:eastAsia="標楷體" w:hAnsi="標楷體" w:cs="Gungsuh"/>
              <w:color w:val="000000"/>
              <w:highlight w:val="yellow"/>
            </w:rPr>
            <w:t>天，由主辦單位決定日期填入後刪除本說明）</w:t>
          </w:r>
        </w:sdtContent>
      </w:sdt>
    </w:p>
    <w:bookmarkStart w:id="5" w:name="_heading=h.tyjcwt" w:colFirst="0" w:colLast="0"/>
    <w:bookmarkEnd w:id="5"/>
    <w:p w14:paraId="33503C36" w14:textId="77777777" w:rsidR="00462806" w:rsidRPr="00CA66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sdt>
        <w:sdtPr>
          <w:rPr>
            <w:rFonts w:ascii="標楷體" w:eastAsia="標楷體" w:hAnsi="標楷體"/>
          </w:rPr>
          <w:tag w:val="goog_rdk_14"/>
          <w:id w:val="-1627939145"/>
        </w:sdtPr>
        <w:sdtContent>
          <w:r w:rsidRPr="00CA660B">
            <w:rPr>
              <w:rFonts w:ascii="標楷體" w:eastAsia="標楷體" w:hAnsi="標楷體" w:cs="Gungsuh"/>
              <w:color w:val="000000"/>
            </w:rPr>
            <w:t>運動禁藥相關內容：</w:t>
          </w:r>
        </w:sdtContent>
      </w:sdt>
    </w:p>
    <w:p w14:paraId="2822A1BC" w14:textId="77777777" w:rsidR="00462806" w:rsidRPr="00CA660B" w:rsidRDefault="004628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hyperlink r:id="rId9">
        <w:r w:rsidRPr="00CA660B">
          <w:rPr>
            <w:rFonts w:ascii="標楷體" w:eastAsia="標楷體" w:hAnsi="標楷體"/>
            <w:color w:val="0000FF"/>
            <w:u w:val="single"/>
          </w:rPr>
          <w:t>禁用清單</w:t>
        </w:r>
      </w:hyperlink>
    </w:p>
    <w:p w14:paraId="53A37307" w14:textId="77777777" w:rsidR="00462806" w:rsidRPr="00CA660B" w:rsidRDefault="004628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hyperlink r:id="rId10">
        <w:r w:rsidRPr="00CA660B">
          <w:rPr>
            <w:rFonts w:ascii="標楷體" w:eastAsia="標楷體" w:hAnsi="標楷體"/>
            <w:color w:val="0000FF"/>
            <w:u w:val="single"/>
          </w:rPr>
          <w:t>治療用途豁免申請</w:t>
        </w:r>
      </w:hyperlink>
    </w:p>
    <w:p w14:paraId="4080A331" w14:textId="77777777" w:rsidR="00462806" w:rsidRPr="00CA660B" w:rsidRDefault="004628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hyperlink r:id="rId11">
        <w:r w:rsidRPr="00CA660B">
          <w:rPr>
            <w:rFonts w:ascii="標楷體" w:eastAsia="標楷體" w:hAnsi="標楷體"/>
            <w:color w:val="1155CC"/>
            <w:u w:val="single"/>
          </w:rPr>
          <w:t>運動員治療用途豁免須知</w:t>
        </w:r>
      </w:hyperlink>
    </w:p>
    <w:p w14:paraId="22016BDD" w14:textId="77777777" w:rsidR="00462806" w:rsidRPr="00CA660B" w:rsidRDefault="0046280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hyperlink r:id="rId12">
        <w:r w:rsidRPr="00CA660B">
          <w:rPr>
            <w:rFonts w:ascii="標楷體" w:eastAsia="標楷體" w:hAnsi="標楷體"/>
            <w:color w:val="0000FF"/>
            <w:u w:val="single"/>
          </w:rPr>
          <w:t xml:space="preserve">採樣流程 </w:t>
        </w:r>
      </w:hyperlink>
    </w:p>
    <w:p w14:paraId="2B93C7B1" w14:textId="77777777" w:rsidR="00462806" w:rsidRPr="00CA660B" w:rsidRDefault="0046280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  <w:hyperlink r:id="rId13">
        <w:r w:rsidRPr="00CA660B">
          <w:rPr>
            <w:rFonts w:ascii="標楷體" w:eastAsia="標楷體" w:hAnsi="標楷體"/>
            <w:color w:val="0000FF"/>
            <w:u w:val="single"/>
          </w:rPr>
          <w:t>其他藥管規定</w:t>
        </w:r>
      </w:hyperlink>
    </w:p>
    <w:p w14:paraId="5F6092F0" w14:textId="77777777" w:rsidR="00462806" w:rsidRPr="00CA660B" w:rsidRDefault="00462806">
      <w:pPr>
        <w:rPr>
          <w:rFonts w:ascii="標楷體" w:eastAsia="標楷體" w:hAnsi="標楷體"/>
          <w:sz w:val="32"/>
          <w:szCs w:val="32"/>
        </w:rPr>
      </w:pPr>
    </w:p>
    <w:p w14:paraId="16F1DF86" w14:textId="77777777" w:rsidR="00462806" w:rsidRPr="00CA660B" w:rsidRDefault="00462806">
      <w:pPr>
        <w:rPr>
          <w:rFonts w:ascii="標楷體" w:eastAsia="標楷體" w:hAnsi="標楷體"/>
        </w:rPr>
      </w:pPr>
    </w:p>
    <w:sectPr w:rsidR="00462806" w:rsidRPr="00CA660B">
      <w:headerReference w:type="default" r:id="rId14"/>
      <w:footerReference w:type="default" r:id="rId15"/>
      <w:pgSz w:w="11906" w:h="16838"/>
      <w:pgMar w:top="2155" w:right="1701" w:bottom="1985" w:left="1701" w:header="851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53F7" w14:textId="77777777" w:rsidR="00315F6B" w:rsidRDefault="00315F6B">
      <w:r>
        <w:separator/>
      </w:r>
    </w:p>
  </w:endnote>
  <w:endnote w:type="continuationSeparator" w:id="0">
    <w:p w14:paraId="4371D1D1" w14:textId="77777777" w:rsidR="00315F6B" w:rsidRDefault="003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52E7" w14:textId="77777777" w:rsidR="004628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20"/>
      </w:tabs>
      <w:ind w:left="289" w:hanging="649"/>
      <w:jc w:val="center"/>
      <w:rPr>
        <w:color w:val="008000"/>
      </w:rPr>
    </w:pPr>
    <w:sdt>
      <w:sdtPr>
        <w:tag w:val="goog_rdk_16"/>
        <w:id w:val="-1578091436"/>
      </w:sdtPr>
      <w:sdtContent>
        <w:r>
          <w:rPr>
            <w:rFonts w:ascii="Gungsuh" w:eastAsia="Gungsuh" w:hAnsi="Gungsuh" w:cs="Gungsuh"/>
            <w:color w:val="008000"/>
          </w:rPr>
          <w:t>33301</w:t>
        </w:r>
        <w:r>
          <w:rPr>
            <w:rFonts w:ascii="Gungsuh" w:eastAsia="Gungsuh" w:hAnsi="Gungsuh" w:cs="Gungsuh"/>
            <w:color w:val="008000"/>
          </w:rPr>
          <w:t>桃園市龜山區文化一路250號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12D88C1" wp14:editId="0AE41EBF">
              <wp:simplePos x="0" y="0"/>
              <wp:positionH relativeFrom="column">
                <wp:posOffset>-558799</wp:posOffset>
              </wp:positionH>
              <wp:positionV relativeFrom="paragraph">
                <wp:posOffset>88900</wp:posOffset>
              </wp:positionV>
              <wp:extent cx="0" cy="38100"/>
              <wp:effectExtent l="0" t="0" r="0" b="0"/>
              <wp:wrapSquare wrapText="bothSides" distT="0" distB="0" distL="114300" distR="114300"/>
              <wp:docPr id="8" name="直線單箭頭接點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A8784DF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8" o:spid="_x0000_s1026" type="#_x0000_t32" style="position:absolute;margin-left:-44pt;margin-top:7pt;width:0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" strokecolor="green" strokeweight="3pt">
              <v:stroke linestyle="thinThin"/>
              <w10:wrap type="square"/>
            </v:shape>
          </w:pict>
        </mc:Fallback>
      </mc:AlternateContent>
    </w:r>
  </w:p>
  <w:p w14:paraId="3BF74DAC" w14:textId="77777777" w:rsidR="004628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20"/>
      </w:tabs>
      <w:ind w:left="72" w:hanging="432"/>
      <w:jc w:val="center"/>
      <w:rPr>
        <w:color w:val="008000"/>
      </w:rPr>
    </w:pPr>
    <w:r>
      <w:rPr>
        <w:rFonts w:eastAsia="Times New Roman"/>
        <w:color w:val="008000"/>
      </w:rPr>
      <w:t xml:space="preserve">No. 250, Wenhua 1st Rd., </w:t>
    </w:r>
    <w:proofErr w:type="spellStart"/>
    <w:r>
      <w:rPr>
        <w:rFonts w:eastAsia="Times New Roman"/>
        <w:color w:val="008000"/>
      </w:rPr>
      <w:t>Guishan</w:t>
    </w:r>
    <w:proofErr w:type="spellEnd"/>
    <w:r>
      <w:rPr>
        <w:rFonts w:eastAsia="Times New Roman"/>
        <w:color w:val="008000"/>
      </w:rPr>
      <w:t>, Taoyuan 33301, Taiwan</w:t>
    </w:r>
  </w:p>
  <w:p w14:paraId="196B8C97" w14:textId="77777777" w:rsidR="004628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20"/>
      </w:tabs>
      <w:ind w:left="72" w:hanging="432"/>
      <w:jc w:val="center"/>
      <w:rPr>
        <w:color w:val="008000"/>
      </w:rPr>
    </w:pPr>
    <w:r>
      <w:rPr>
        <w:rFonts w:eastAsia="Times New Roman"/>
        <w:color w:val="008000"/>
      </w:rPr>
      <w:t>Tel: +886-3-3273332    Fax: +886-3-3273113</w:t>
    </w:r>
  </w:p>
  <w:p w14:paraId="4DFD2CCF" w14:textId="77777777" w:rsidR="004628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20"/>
      </w:tabs>
      <w:ind w:left="72" w:hanging="432"/>
      <w:jc w:val="center"/>
      <w:rPr>
        <w:color w:val="008000"/>
      </w:rPr>
    </w:pPr>
    <w:r>
      <w:rPr>
        <w:rFonts w:eastAsia="Times New Roman"/>
        <w:color w:val="008000"/>
      </w:rPr>
      <w:t xml:space="preserve">Email: </w:t>
    </w:r>
    <w:proofErr w:type="gramStart"/>
    <w:r>
      <w:rPr>
        <w:rFonts w:eastAsia="Times New Roman"/>
        <w:color w:val="008000"/>
      </w:rPr>
      <w:t>antidoping@ctada.org.tw  Website</w:t>
    </w:r>
    <w:proofErr w:type="gramEnd"/>
    <w:r>
      <w:rPr>
        <w:rFonts w:eastAsia="Times New Roman"/>
        <w:color w:val="008000"/>
      </w:rPr>
      <w:t>: http://www.antidoping.org.tw</w:t>
    </w:r>
  </w:p>
  <w:p w14:paraId="04ACE4A2" w14:textId="77777777" w:rsidR="0046280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820"/>
      </w:tabs>
      <w:ind w:left="72" w:hanging="432"/>
      <w:jc w:val="right"/>
      <w:rPr>
        <w:color w:val="008000"/>
      </w:rPr>
    </w:pPr>
    <w:r>
      <w:rPr>
        <w:color w:val="008000"/>
      </w:rPr>
      <w:fldChar w:fldCharType="begin"/>
    </w:r>
    <w:r>
      <w:rPr>
        <w:color w:val="008000"/>
      </w:rPr>
      <w:instrText>PAGE</w:instrText>
    </w:r>
    <w:r>
      <w:rPr>
        <w:color w:val="008000"/>
      </w:rPr>
      <w:fldChar w:fldCharType="separate"/>
    </w:r>
    <w:r w:rsidR="00CA660B">
      <w:rPr>
        <w:noProof/>
        <w:color w:val="008000"/>
      </w:rPr>
      <w:t>1</w:t>
    </w:r>
    <w:r>
      <w:rPr>
        <w:color w:val="008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3E53" w14:textId="77777777" w:rsidR="00315F6B" w:rsidRDefault="00315F6B">
      <w:r>
        <w:separator/>
      </w:r>
    </w:p>
  </w:footnote>
  <w:footnote w:type="continuationSeparator" w:id="0">
    <w:p w14:paraId="6DBE056C" w14:textId="77777777" w:rsidR="00315F6B" w:rsidRDefault="0031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A214" w14:textId="77777777" w:rsidR="00462806" w:rsidRPr="001E3B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  <w:sz w:val="36"/>
        <w:szCs w:val="36"/>
      </w:rPr>
    </w:pPr>
    <w:sdt>
      <w:sdtPr>
        <w:rPr>
          <w:rFonts w:ascii="標楷體" w:eastAsia="標楷體" w:hAnsi="標楷體"/>
        </w:rPr>
        <w:tag w:val="goog_rdk_15"/>
        <w:id w:val="871523118"/>
      </w:sdtPr>
      <w:sdtContent>
        <w:r w:rsidRPr="001E3B4D">
          <w:rPr>
            <w:rFonts w:ascii="標楷體" w:eastAsia="標楷體" w:hAnsi="標楷體" w:cs="Gungsuh"/>
            <w:color w:val="000000"/>
            <w:sz w:val="36"/>
            <w:szCs w:val="36"/>
          </w:rPr>
          <w:t>財團法人中華運動禁藥防制基金會</w:t>
        </w:r>
      </w:sdtContent>
    </w:sdt>
    <w:r w:rsidRPr="001E3B4D">
      <w:rPr>
        <w:rFonts w:ascii="標楷體" w:eastAsia="標楷體" w:hAnsi="標楷體"/>
        <w:noProof/>
      </w:rPr>
      <w:drawing>
        <wp:anchor distT="0" distB="0" distL="114300" distR="114300" simplePos="0" relativeHeight="251658240" behindDoc="0" locked="0" layoutInCell="1" hidden="0" allowOverlap="1" wp14:anchorId="20136CD4" wp14:editId="2442B6F7">
          <wp:simplePos x="0" y="0"/>
          <wp:positionH relativeFrom="column">
            <wp:posOffset>-556894</wp:posOffset>
          </wp:positionH>
          <wp:positionV relativeFrom="paragraph">
            <wp:posOffset>-187324</wp:posOffset>
          </wp:positionV>
          <wp:extent cx="899160" cy="89916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CC9F65" w14:textId="77777777" w:rsidR="00462806" w:rsidRPr="001E3B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  <w:sz w:val="36"/>
        <w:szCs w:val="36"/>
      </w:rPr>
    </w:pPr>
    <w:r w:rsidRPr="001E3B4D">
      <w:rPr>
        <w:rFonts w:ascii="標楷體" w:eastAsia="標楷體" w:hAnsi="標楷體"/>
        <w:color w:val="000000"/>
        <w:sz w:val="36"/>
        <w:szCs w:val="36"/>
      </w:rPr>
      <w:t>CHINESE TAIPEI ANTI-DOPING AGENCY</w:t>
    </w:r>
    <w:r w:rsidRPr="001E3B4D"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71F32E" wp14:editId="648AF032">
              <wp:simplePos x="0" y="0"/>
              <wp:positionH relativeFrom="column">
                <wp:posOffset>-546099</wp:posOffset>
              </wp:positionH>
              <wp:positionV relativeFrom="paragraph">
                <wp:posOffset>330200</wp:posOffset>
              </wp:positionV>
              <wp:extent cx="0" cy="38100"/>
              <wp:effectExtent l="0" t="0" r="0" b="0"/>
              <wp:wrapSquare wrapText="bothSides" distT="0" distB="0" distL="114300" distR="114300"/>
              <wp:docPr id="9" name="直線單箭頭接點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5246B7A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9" o:spid="_x0000_s1026" type="#_x0000_t32" style="position:absolute;margin-left:-43pt;margin-top:26pt;width:0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" strokecolor="green" strokeweight="3pt">
              <v:stroke linestyle="thinThin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846E2"/>
    <w:multiLevelType w:val="multilevel"/>
    <w:tmpl w:val="368CFD8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778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06"/>
    <w:rsid w:val="001E3B4D"/>
    <w:rsid w:val="00315F6B"/>
    <w:rsid w:val="00462806"/>
    <w:rsid w:val="00CA660B"/>
    <w:rsid w:val="00CB0C65"/>
    <w:rsid w:val="00E43CA4"/>
    <w:rsid w:val="00E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CDA5"/>
  <w15:docId w15:val="{BDEDA6D1-DB55-46E5-A2D0-797C3C13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0D"/>
    <w:rPr>
      <w:kern w:val="2"/>
    </w:rPr>
  </w:style>
  <w:style w:type="paragraph" w:styleId="1">
    <w:name w:val="heading 1"/>
    <w:basedOn w:val="a"/>
    <w:link w:val="10"/>
    <w:uiPriority w:val="9"/>
    <w:qFormat/>
    <w:rsid w:val="001401C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rsid w:val="00737839"/>
    <w:rPr>
      <w:color w:val="0000FF"/>
      <w:u w:val="single"/>
    </w:rPr>
  </w:style>
  <w:style w:type="paragraph" w:styleId="a9">
    <w:name w:val="Balloon Text"/>
    <w:basedOn w:val="a"/>
    <w:semiHidden/>
    <w:rsid w:val="00502335"/>
    <w:rPr>
      <w:rFonts w:ascii="Arial" w:hAnsi="Arial"/>
      <w:sz w:val="18"/>
      <w:szCs w:val="18"/>
    </w:rPr>
  </w:style>
  <w:style w:type="table" w:styleId="aa">
    <w:name w:val="Table Grid"/>
    <w:basedOn w:val="a1"/>
    <w:rsid w:val="00F5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C7EB7"/>
  </w:style>
  <w:style w:type="character" w:customStyle="1" w:styleId="apple-converted-space">
    <w:name w:val="apple-converted-space"/>
    <w:rsid w:val="001401CE"/>
  </w:style>
  <w:style w:type="character" w:styleId="ab">
    <w:name w:val="Emphasis"/>
    <w:uiPriority w:val="20"/>
    <w:qFormat/>
    <w:rsid w:val="001401CE"/>
    <w:rPr>
      <w:i/>
      <w:iCs/>
    </w:rPr>
  </w:style>
  <w:style w:type="character" w:customStyle="1" w:styleId="10">
    <w:name w:val="標題 1 字元"/>
    <w:link w:val="1"/>
    <w:uiPriority w:val="9"/>
    <w:rsid w:val="001401CE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Typewriter"/>
    <w:unhideWhenUsed/>
    <w:rsid w:val="00C84B4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a7">
    <w:name w:val="頁尾 字元"/>
    <w:link w:val="a6"/>
    <w:uiPriority w:val="99"/>
    <w:rsid w:val="00D83155"/>
    <w:rPr>
      <w:kern w:val="2"/>
    </w:rPr>
  </w:style>
  <w:style w:type="character" w:styleId="ac">
    <w:name w:val="Unresolved Mention"/>
    <w:uiPriority w:val="99"/>
    <w:semiHidden/>
    <w:unhideWhenUsed/>
    <w:rsid w:val="00D83155"/>
    <w:rPr>
      <w:color w:val="605E5C"/>
      <w:shd w:val="clear" w:color="auto" w:fill="E1DFDD"/>
    </w:rPr>
  </w:style>
  <w:style w:type="character" w:customStyle="1" w:styleId="a5">
    <w:name w:val="頁首 字元"/>
    <w:link w:val="a4"/>
    <w:uiPriority w:val="99"/>
    <w:rsid w:val="00A97421"/>
    <w:rPr>
      <w:kern w:val="2"/>
    </w:rPr>
  </w:style>
  <w:style w:type="paragraph" w:customStyle="1" w:styleId="Default">
    <w:name w:val="Default"/>
    <w:rsid w:val="00A97421"/>
    <w:pPr>
      <w:autoSpaceDE w:val="0"/>
      <w:autoSpaceDN w:val="0"/>
      <w:adjustRightInd w:val="0"/>
    </w:pPr>
    <w:rPr>
      <w:rFonts w:ascii="新細明體" w:cs="新細明體"/>
      <w:color w:val="000000"/>
    </w:rPr>
  </w:style>
  <w:style w:type="paragraph" w:styleId="ad">
    <w:name w:val="List Paragraph"/>
    <w:basedOn w:val="a"/>
    <w:uiPriority w:val="34"/>
    <w:qFormat/>
    <w:rsid w:val="004A4A1D"/>
    <w:pPr>
      <w:ind w:leftChars="200" w:left="480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" TargetMode="External"/><Relationship Id="rId13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esting-procedur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iz1P1xluCdNsiqGhe2wiroM-sgpLvYEm/vie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ntidoping.org.tw/t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自訂 2">
      <a:dk1>
        <a:srgbClr val="000000"/>
      </a:dk1>
      <a:lt1>
        <a:srgbClr val="FFFFFF"/>
      </a:lt1>
      <a:dk2>
        <a:srgbClr val="251F47"/>
      </a:dk2>
      <a:lt2>
        <a:srgbClr val="FEF086"/>
      </a:lt2>
      <a:accent1>
        <a:srgbClr val="EDF6F9"/>
      </a:accent1>
      <a:accent2>
        <a:srgbClr val="83C5BE"/>
      </a:accent2>
      <a:accent3>
        <a:srgbClr val="006D77"/>
      </a:accent3>
      <a:accent4>
        <a:srgbClr val="91273E"/>
      </a:accent4>
      <a:accent5>
        <a:srgbClr val="F2E9E4"/>
      </a:accent5>
      <a:accent6>
        <a:srgbClr val="C9FBFF"/>
      </a:accent6>
      <a:hlink>
        <a:srgbClr val="0000FF"/>
      </a:hlink>
      <a:folHlink>
        <a:srgbClr val="800080"/>
      </a:folHlink>
    </a:clrScheme>
    <a:fontScheme name="CTADA正式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RobNniGpGnG/2H1oIW2HloZn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MghoLmdqZGd4czIJaC4zMGowemxsMgloLjFmb2I5dGUyCWguM3pueXNoNzIJaC4yZXQ5MnAwMghoLnR5amN3dDgAciExM1pVUzdrRVRhMy1zRmM2Q0JCVjF6clBaOTZ4d1Vm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ctada</cp:lastModifiedBy>
  <cp:revision>3</cp:revision>
  <dcterms:created xsi:type="dcterms:W3CDTF">2026-02-04T07:16:00Z</dcterms:created>
  <dcterms:modified xsi:type="dcterms:W3CDTF">2026-02-04T07:21:00Z</dcterms:modified>
</cp:coreProperties>
</file>